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5B618" w14:textId="0A2913F3" w:rsidR="002D4DC7" w:rsidRDefault="00D851F4" w:rsidP="00D851F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851F4">
        <w:rPr>
          <w:rFonts w:ascii="Times New Roman" w:hAnsi="Times New Roman" w:cs="Times New Roman"/>
          <w:b/>
          <w:sz w:val="28"/>
          <w:szCs w:val="28"/>
        </w:rPr>
        <w:t>GROUP ____</w:t>
      </w:r>
    </w:p>
    <w:p w14:paraId="3446963A" w14:textId="6C66BDEE" w:rsidR="00D851F4" w:rsidRDefault="002A752A" w:rsidP="00D851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HETEROGENEOUS EFFECTS</w:t>
      </w:r>
      <w:r w:rsidR="00D851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D851F4">
        <w:rPr>
          <w:rFonts w:ascii="Times New Roman" w:hAnsi="Times New Roman" w:cs="Times New Roman"/>
          <w:b/>
          <w:sz w:val="28"/>
          <w:szCs w:val="28"/>
        </w:rPr>
        <w:t>WORKSHEET</w:t>
      </w:r>
    </w:p>
    <w:p w14:paraId="0B1BD69A" w14:textId="46049575" w:rsidR="006B59F0" w:rsidRPr="00581421" w:rsidRDefault="006B59F0" w:rsidP="006A05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E6763B" w14:textId="0FCB0559" w:rsidR="006B59F0" w:rsidRPr="00CF57E1" w:rsidRDefault="00581421" w:rsidP="00161972">
      <w:pPr>
        <w:spacing w:line="276" w:lineRule="auto"/>
        <w:rPr>
          <w:rFonts w:ascii="Times New Roman" w:eastAsiaTheme="minorEastAsia" w:hAnsi="Times New Roman" w:cs="Times New Roman"/>
          <w:color w:val="4472C4" w:themeColor="accent1"/>
          <w:sz w:val="28"/>
          <w:szCs w:val="28"/>
        </w:rPr>
      </w:pPr>
      <w:r w:rsidRPr="00581421">
        <w:rPr>
          <w:rFonts w:ascii="Times New Roman" w:hAnsi="Times New Roman" w:cs="Times New Roman"/>
          <w:sz w:val="28"/>
          <w:szCs w:val="28"/>
        </w:rPr>
        <w:t xml:space="preserve">Suppose a university is considering increasing the number of tutors it hires, but it wants a good estimate of the effect of tutoring on student outcomes first. The university chooses a representative sample comprised of 100 students and randomly assigns a tutor to half of them. </w:t>
      </w:r>
      <w:proofErr w:type="spellStart"/>
      <w:r w:rsidRPr="00581421">
        <w:rPr>
          <w:rFonts w:ascii="Times New Roman" w:hAnsi="Times New Roman" w:cs="Times New Roman"/>
          <w:i/>
          <w:sz w:val="28"/>
          <w:szCs w:val="28"/>
        </w:rPr>
        <w:t>tut</w:t>
      </w:r>
      <w:r w:rsidRPr="00581421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581421">
        <w:rPr>
          <w:rFonts w:ascii="Times New Roman" w:hAnsi="Times New Roman" w:cs="Times New Roman"/>
          <w:sz w:val="28"/>
          <w:szCs w:val="28"/>
        </w:rPr>
        <w:t xml:space="preserve"> is a dummy variable equal to 1 if a tutor was assigned to student </w:t>
      </w:r>
      <w:proofErr w:type="spellStart"/>
      <w:r w:rsidRPr="00581421">
        <w:rPr>
          <w:rFonts w:ascii="Times New Roman" w:hAnsi="Times New Roman" w:cs="Times New Roman"/>
          <w:i/>
          <w:sz w:val="28"/>
          <w:szCs w:val="28"/>
        </w:rPr>
        <w:t>i</w:t>
      </w:r>
      <w:proofErr w:type="spellEnd"/>
      <w:r w:rsidRPr="00581421">
        <w:rPr>
          <w:rFonts w:ascii="Times New Roman" w:hAnsi="Times New Roman" w:cs="Times New Roman"/>
          <w:sz w:val="28"/>
          <w:szCs w:val="28"/>
        </w:rPr>
        <w:t xml:space="preserve"> and 0 otherwise. The university also collects data on test scores (</w:t>
      </w:r>
      <w:proofErr w:type="spellStart"/>
      <w:r w:rsidRPr="00581421">
        <w:rPr>
          <w:rFonts w:ascii="Times New Roman" w:hAnsi="Times New Roman" w:cs="Times New Roman"/>
          <w:i/>
          <w:sz w:val="28"/>
          <w:szCs w:val="28"/>
        </w:rPr>
        <w:t>y</w:t>
      </w:r>
      <w:r w:rsidRPr="00581421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581421">
        <w:rPr>
          <w:rFonts w:ascii="Times New Roman" w:hAnsi="Times New Roman" w:cs="Times New Roman"/>
          <w:sz w:val="28"/>
          <w:szCs w:val="28"/>
        </w:rPr>
        <w:t>), student gender (</w:t>
      </w:r>
      <w:proofErr w:type="spellStart"/>
      <w:r w:rsidRPr="00581421">
        <w:rPr>
          <w:rFonts w:ascii="Times New Roman" w:hAnsi="Times New Roman" w:cs="Times New Roman"/>
          <w:i/>
          <w:sz w:val="28"/>
          <w:szCs w:val="28"/>
        </w:rPr>
        <w:t>male</w:t>
      </w:r>
      <w:r w:rsidRPr="00581421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581421">
        <w:rPr>
          <w:rFonts w:ascii="Times New Roman" w:hAnsi="Times New Roman" w:cs="Times New Roman"/>
          <w:sz w:val="28"/>
          <w:szCs w:val="28"/>
        </w:rPr>
        <w:t>), and grade point average (</w:t>
      </w:r>
      <w:proofErr w:type="spellStart"/>
      <w:r w:rsidRPr="00581421">
        <w:rPr>
          <w:rFonts w:ascii="Times New Roman" w:hAnsi="Times New Roman" w:cs="Times New Roman"/>
          <w:i/>
          <w:sz w:val="28"/>
          <w:szCs w:val="28"/>
        </w:rPr>
        <w:t>GPA</w:t>
      </w:r>
      <w:r w:rsidRPr="00581421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581421">
        <w:rPr>
          <w:rFonts w:ascii="Times New Roman" w:hAnsi="Times New Roman" w:cs="Times New Roman"/>
          <w:sz w:val="28"/>
          <w:szCs w:val="28"/>
        </w:rPr>
        <w:t>), recorded in the preceding term.</w:t>
      </w:r>
    </w:p>
    <w:p w14:paraId="3C983345" w14:textId="77777777" w:rsidR="00CF57E1" w:rsidRDefault="00CF57E1" w:rsidP="006A05F4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F57E1">
        <w:rPr>
          <w:rFonts w:ascii="Times New Roman" w:eastAsiaTheme="minorEastAsia" w:hAnsi="Times New Roman" w:cs="Times New Roman"/>
          <w:sz w:val="28"/>
          <w:szCs w:val="28"/>
        </w:rPr>
        <w:t>The administrators start their analysis by estimating the following model:</w:t>
      </w:r>
    </w:p>
    <w:p w14:paraId="5FA53A3F" w14:textId="6A668058" w:rsidR="00CF57E1" w:rsidRDefault="00CF57E1" w:rsidP="00CF57E1">
      <w:pPr>
        <w:pStyle w:val="ListParagraph"/>
        <w:rPr>
          <w:rFonts w:ascii="Times New Roman" w:eastAsiaTheme="minorEastAsia" w:hAnsi="Times New Roman" w:cs="Times New Roman"/>
          <w:sz w:val="28"/>
          <w:szCs w:val="28"/>
        </w:rPr>
      </w:pPr>
    </w:p>
    <w:p w14:paraId="795692F2" w14:textId="49AF0BC1" w:rsidR="00CF57E1" w:rsidRPr="00BC11F9" w:rsidRDefault="004629CA" w:rsidP="00CF57E1">
      <w:pPr>
        <w:pStyle w:val="ListParagrap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tu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mal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GPA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</m:oMath>
      </m:oMathPara>
    </w:p>
    <w:p w14:paraId="68840A0F" w14:textId="77777777" w:rsidR="00CF57E1" w:rsidRPr="00CF57E1" w:rsidRDefault="00CF57E1" w:rsidP="00CF57E1">
      <w:pPr>
        <w:pStyle w:val="ListParagraph"/>
        <w:rPr>
          <w:rFonts w:ascii="Times New Roman" w:eastAsiaTheme="minorEastAsia" w:hAnsi="Times New Roman" w:cs="Times New Roman"/>
          <w:sz w:val="28"/>
          <w:szCs w:val="28"/>
        </w:rPr>
      </w:pPr>
    </w:p>
    <w:p w14:paraId="0A9DC103" w14:textId="099CCE5B" w:rsidR="001A7FE5" w:rsidRDefault="002A752A" w:rsidP="00161972">
      <w:pPr>
        <w:pStyle w:val="ListParagraph"/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How should we interpret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the coefficient </w:t>
      </w:r>
      <w:r w:rsidR="006A05F4">
        <w:rPr>
          <w:rFonts w:ascii="Times New Roman" w:eastAsiaTheme="minorEastAsia" w:hAnsi="Times New Roman" w:cs="Times New Roman"/>
          <w:sz w:val="28"/>
          <w:szCs w:val="28"/>
        </w:rPr>
        <w:t xml:space="preserve">on </w:t>
      </w:r>
      <w:r>
        <w:rPr>
          <w:rFonts w:ascii="Times New Roman" w:eastAsiaTheme="minorEastAsia" w:hAnsi="Times New Roman" w:cs="Times New Roman"/>
          <w:sz w:val="28"/>
          <w:szCs w:val="28"/>
        </w:rPr>
        <w:t>the tutor dummy variable</w:t>
      </w:r>
      <w:r w:rsidR="001A7FE5">
        <w:rPr>
          <w:rFonts w:ascii="Times New Roman" w:eastAsiaTheme="minorEastAsia" w:hAnsi="Times New Roman" w:cs="Times New Roman"/>
          <w:sz w:val="28"/>
          <w:szCs w:val="28"/>
        </w:rPr>
        <w:t>?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Is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an unbiased estimate of the Average Treatment Effect (ATE)? Why or why not?</w:t>
      </w:r>
    </w:p>
    <w:p w14:paraId="604C1EB5" w14:textId="1DFD9F6B" w:rsidR="002A752A" w:rsidRDefault="002A752A" w:rsidP="002A752A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5D99514" w14:textId="2738E580" w:rsidR="002A752A" w:rsidRDefault="002A752A" w:rsidP="002A752A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CC9330B" w14:textId="77777777" w:rsidR="002A752A" w:rsidRPr="002A752A" w:rsidRDefault="002A752A" w:rsidP="002A752A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C9EF9B0" w14:textId="05A0AB1B" w:rsidR="001A7FE5" w:rsidRDefault="001A7FE5" w:rsidP="001A7FE5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A35EFFA" w14:textId="224409D0" w:rsidR="001A7FE5" w:rsidRDefault="001A7FE5" w:rsidP="001A7FE5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73928B0" w14:textId="6B08122D" w:rsidR="002A752A" w:rsidRDefault="002A752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17F51F20" w14:textId="71FA1E5A" w:rsidR="002A752A" w:rsidRDefault="00607767" w:rsidP="006A05F4">
      <w:pPr>
        <w:pStyle w:val="ListParagraph"/>
        <w:numPr>
          <w:ilvl w:val="0"/>
          <w:numId w:val="8"/>
        </w:num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1A7FE5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 xml:space="preserve">The university wants to know if the effect of tutors is different for male students relative to female students. </w:t>
      </w:r>
      <w:r w:rsidR="002A752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The </w:t>
      </w:r>
      <w:r w:rsidR="006A05F4">
        <w:rPr>
          <w:rFonts w:ascii="Times New Roman" w:eastAsiaTheme="minorEastAsia" w:hAnsi="Times New Roman" w:cs="Times New Roman"/>
          <w:sz w:val="28"/>
          <w:szCs w:val="28"/>
          <w:lang w:val="en-US"/>
        </w:rPr>
        <w:t>original</w:t>
      </w:r>
      <w:r w:rsidR="002A752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regression model assumes effects for each of these groups (i.e., males and females) are the same. </w:t>
      </w:r>
      <w:r w:rsidR="002A752A" w:rsidRPr="002A752A">
        <w:rPr>
          <w:rFonts w:ascii="Times New Roman" w:eastAsiaTheme="minorEastAsia" w:hAnsi="Times New Roman" w:cs="Times New Roman"/>
          <w:sz w:val="28"/>
          <w:szCs w:val="28"/>
          <w:lang w:val="en-US"/>
        </w:rPr>
        <w:t>Suppose you estimate the following model s</w:t>
      </w:r>
      <w:r w:rsidR="002A752A">
        <w:rPr>
          <w:rFonts w:ascii="Times New Roman" w:eastAsiaTheme="minorEastAsia" w:hAnsi="Times New Roman" w:cs="Times New Roman"/>
          <w:sz w:val="28"/>
          <w:szCs w:val="28"/>
          <w:lang w:val="en-US"/>
        </w:rPr>
        <w:t>eparately for males and females:</w:t>
      </w:r>
    </w:p>
    <w:p w14:paraId="732CFCF6" w14:textId="77777777" w:rsidR="002A752A" w:rsidRDefault="002A752A" w:rsidP="006A05F4">
      <w:pPr>
        <w:pStyle w:val="ListParagraph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0D4845E4" w14:textId="07DB6854" w:rsidR="002A752A" w:rsidRPr="005A00AB" w:rsidRDefault="004629CA" w:rsidP="006A05F4">
      <w:pPr>
        <w:pStyle w:val="ListParagraph"/>
        <w:spacing w:line="276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tu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GPA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</m:oMath>
      </m:oMathPara>
    </w:p>
    <w:p w14:paraId="0B63381A" w14:textId="77777777" w:rsidR="002A752A" w:rsidRDefault="002A752A" w:rsidP="006A05F4">
      <w:pPr>
        <w:pStyle w:val="ListParagraph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78361ECD" w14:textId="18B1AEBF" w:rsidR="001A7FE5" w:rsidRPr="002A752A" w:rsidRDefault="002A752A" w:rsidP="006A05F4">
      <w:pPr>
        <w:pStyle w:val="ListParagraph"/>
        <w:numPr>
          <w:ilvl w:val="1"/>
          <w:numId w:val="8"/>
        </w:num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How do you interpret your two sets of estimates of</w:t>
      </w:r>
      <w:r w:rsidRPr="005A00A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?</w:t>
      </w:r>
    </w:p>
    <w:p w14:paraId="399F0947" w14:textId="014016D3" w:rsid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12B83E26" w14:textId="483B35AA" w:rsid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2286A29C" w14:textId="77777777" w:rsid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143E719A" w14:textId="5CD5F050" w:rsidR="002A752A" w:rsidRP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4BD1BB84" w14:textId="37E197AD" w:rsidR="002A752A" w:rsidRDefault="002A752A" w:rsidP="006A05F4">
      <w:pPr>
        <w:pStyle w:val="ListParagraph"/>
        <w:numPr>
          <w:ilvl w:val="1"/>
          <w:numId w:val="8"/>
        </w:num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Write down a regression model that would be estimated on the whole sample that allows the effect of tutoring to differ for males and females but assumes the effect of </w:t>
      </w:r>
      <w:r w:rsidR="00CF57E1">
        <w:rPr>
          <w:rFonts w:ascii="Times New Roman" w:eastAsiaTheme="minorEastAsia" w:hAnsi="Times New Roman" w:cs="Times New Roman"/>
          <w:sz w:val="28"/>
          <w:szCs w:val="28"/>
          <w:lang w:val="en-US"/>
        </w:rPr>
        <w:t>GPA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is the same for males and females. Interpret the coefficients of your new model.</w:t>
      </w:r>
    </w:p>
    <w:p w14:paraId="5223EB4C" w14:textId="533F9650" w:rsid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4976587F" w14:textId="22190B12" w:rsid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35CA878F" w14:textId="77777777" w:rsid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68F89BFF" w14:textId="248565D9" w:rsid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2CA0F200" w14:textId="77777777" w:rsidR="002A752A" w:rsidRPr="002A752A" w:rsidRDefault="002A752A" w:rsidP="006A05F4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2FFCD73B" w14:textId="08949C42" w:rsidR="002A752A" w:rsidRPr="002A752A" w:rsidRDefault="002A752A" w:rsidP="006A05F4">
      <w:pPr>
        <w:pStyle w:val="ListParagraph"/>
        <w:numPr>
          <w:ilvl w:val="1"/>
          <w:numId w:val="8"/>
        </w:num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State a hypothesis in terms of your regression coefficients that you would use to test whether the effect of tutoring differs for males and females.</w:t>
      </w:r>
    </w:p>
    <w:p w14:paraId="05CC2DA5" w14:textId="5998ED92" w:rsidR="00382ED9" w:rsidRDefault="00382ED9" w:rsidP="00DE6438">
      <w:pPr>
        <w:tabs>
          <w:tab w:val="left" w:pos="83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82E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467C"/>
    <w:multiLevelType w:val="hybridMultilevel"/>
    <w:tmpl w:val="C0809A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A7682"/>
    <w:multiLevelType w:val="hybridMultilevel"/>
    <w:tmpl w:val="DC74F958"/>
    <w:lvl w:ilvl="0" w:tplc="B12C7318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B2B04"/>
    <w:multiLevelType w:val="hybridMultilevel"/>
    <w:tmpl w:val="DD8E390E"/>
    <w:lvl w:ilvl="0" w:tplc="4886A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6685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F4E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7CEE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22A2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6A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98BA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ACE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3052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83649"/>
    <w:multiLevelType w:val="hybridMultilevel"/>
    <w:tmpl w:val="77B0365E"/>
    <w:lvl w:ilvl="0" w:tplc="073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5011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1CAC1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E60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065D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808F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6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CA4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D481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EC1385"/>
    <w:multiLevelType w:val="hybridMultilevel"/>
    <w:tmpl w:val="27A65852"/>
    <w:lvl w:ilvl="0" w:tplc="DBA4C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26F6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88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F8A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0BC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62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D24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B41F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B20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2B34AE"/>
    <w:multiLevelType w:val="hybridMultilevel"/>
    <w:tmpl w:val="6A92DBCE"/>
    <w:lvl w:ilvl="0" w:tplc="0116E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322E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30BB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6E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87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1CFE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EB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A8DE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1C26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BE3E45"/>
    <w:multiLevelType w:val="hybridMultilevel"/>
    <w:tmpl w:val="284AECEA"/>
    <w:lvl w:ilvl="0" w:tplc="843A1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7EB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784D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40D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D6B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E2E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002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C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D870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5D75E8"/>
    <w:multiLevelType w:val="hybridMultilevel"/>
    <w:tmpl w:val="3FB8DA26"/>
    <w:lvl w:ilvl="0" w:tplc="A33496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668E5"/>
    <w:multiLevelType w:val="hybridMultilevel"/>
    <w:tmpl w:val="325E8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F4"/>
    <w:rsid w:val="00035A55"/>
    <w:rsid w:val="000C1669"/>
    <w:rsid w:val="00104CFB"/>
    <w:rsid w:val="0015509B"/>
    <w:rsid w:val="00161972"/>
    <w:rsid w:val="001A1C21"/>
    <w:rsid w:val="001A1DCE"/>
    <w:rsid w:val="001A7FE5"/>
    <w:rsid w:val="00206170"/>
    <w:rsid w:val="0022404C"/>
    <w:rsid w:val="002A675E"/>
    <w:rsid w:val="002A752A"/>
    <w:rsid w:val="002D4DC7"/>
    <w:rsid w:val="00301149"/>
    <w:rsid w:val="003300F3"/>
    <w:rsid w:val="00382ED9"/>
    <w:rsid w:val="004066D1"/>
    <w:rsid w:val="00426992"/>
    <w:rsid w:val="004629CA"/>
    <w:rsid w:val="004B4662"/>
    <w:rsid w:val="005126C4"/>
    <w:rsid w:val="00533E62"/>
    <w:rsid w:val="00560DC4"/>
    <w:rsid w:val="00581421"/>
    <w:rsid w:val="00584701"/>
    <w:rsid w:val="005A00AB"/>
    <w:rsid w:val="005B4E39"/>
    <w:rsid w:val="005F489C"/>
    <w:rsid w:val="005F6A41"/>
    <w:rsid w:val="00607767"/>
    <w:rsid w:val="006214B9"/>
    <w:rsid w:val="006716DB"/>
    <w:rsid w:val="00674C07"/>
    <w:rsid w:val="006A05F4"/>
    <w:rsid w:val="006B59F0"/>
    <w:rsid w:val="006F0AA0"/>
    <w:rsid w:val="0071307A"/>
    <w:rsid w:val="00732F7F"/>
    <w:rsid w:val="00742B55"/>
    <w:rsid w:val="007467E6"/>
    <w:rsid w:val="00840C05"/>
    <w:rsid w:val="00884357"/>
    <w:rsid w:val="008A4084"/>
    <w:rsid w:val="00941EFD"/>
    <w:rsid w:val="00A16A14"/>
    <w:rsid w:val="00A712CF"/>
    <w:rsid w:val="00B302AC"/>
    <w:rsid w:val="00B51C70"/>
    <w:rsid w:val="00BC11F9"/>
    <w:rsid w:val="00BC6357"/>
    <w:rsid w:val="00BF6F9C"/>
    <w:rsid w:val="00C4188F"/>
    <w:rsid w:val="00C70AA3"/>
    <w:rsid w:val="00C75398"/>
    <w:rsid w:val="00CF1DF5"/>
    <w:rsid w:val="00CF57E1"/>
    <w:rsid w:val="00D4484A"/>
    <w:rsid w:val="00D82FF8"/>
    <w:rsid w:val="00D851F4"/>
    <w:rsid w:val="00DE6438"/>
    <w:rsid w:val="00DF7035"/>
    <w:rsid w:val="00E14947"/>
    <w:rsid w:val="00E71B7E"/>
    <w:rsid w:val="00E968A5"/>
    <w:rsid w:val="00F37B65"/>
    <w:rsid w:val="00F4478D"/>
    <w:rsid w:val="00F6309B"/>
    <w:rsid w:val="00FA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EDD4"/>
  <w15:chartTrackingRefBased/>
  <w15:docId w15:val="{E39EE81D-301F-44FC-B803-7E98C07C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B6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51C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B51C70"/>
    <w:pPr>
      <w:spacing w:after="0" w:line="240" w:lineRule="auto"/>
    </w:pPr>
  </w:style>
  <w:style w:type="table" w:styleId="TableGrid">
    <w:name w:val="Table Grid"/>
    <w:basedOn w:val="TableNormal"/>
    <w:uiPriority w:val="39"/>
    <w:rsid w:val="00206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D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550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1421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37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875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9214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367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83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391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376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125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9925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3731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62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175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479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522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56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2807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Orlov</dc:creator>
  <cp:keywords/>
  <dc:description/>
  <cp:lastModifiedBy>Microsoft Office User</cp:lastModifiedBy>
  <cp:revision>16</cp:revision>
  <cp:lastPrinted>2018-02-15T17:47:00Z</cp:lastPrinted>
  <dcterms:created xsi:type="dcterms:W3CDTF">2018-03-15T14:20:00Z</dcterms:created>
  <dcterms:modified xsi:type="dcterms:W3CDTF">2019-07-11T15:01:00Z</dcterms:modified>
</cp:coreProperties>
</file>